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FF0000"/>
          <w:sz w:val="15"/>
          <w:szCs w:val="44"/>
        </w:rPr>
      </w:pPr>
    </w:p>
    <w:p>
      <w:pPr>
        <w:rPr>
          <w:rFonts w:ascii="仿宋_GB2312" w:eastAsia="仿宋_GB2312"/>
          <w:b/>
          <w:color w:val="FF0000"/>
          <w:sz w:val="56"/>
          <w:szCs w:val="44"/>
        </w:rPr>
      </w:pPr>
    </w:p>
    <w:p>
      <w:pPr>
        <w:jc w:val="center"/>
        <w:rPr>
          <w:rFonts w:asciiTheme="majorEastAsia" w:hAnsiTheme="majorEastAsia" w:eastAsiaTheme="majorEastAsia"/>
          <w:b/>
          <w:sz w:val="44"/>
          <w:szCs w:val="44"/>
        </w:rPr>
      </w:pPr>
    </w:p>
    <w:p>
      <w:pPr>
        <w:rPr>
          <w:rFonts w:asciiTheme="majorEastAsia" w:hAnsiTheme="majorEastAsia" w:eastAsiaTheme="majorEastAsia"/>
          <w:b/>
          <w:sz w:val="56"/>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陕西医科学校</w:t>
      </w:r>
      <w:bookmarkStart w:id="0" w:name="OLE_LINK1"/>
      <w:bookmarkStart w:id="1" w:name="OLE_LINK2"/>
      <w:r>
        <w:rPr>
          <w:rFonts w:hint="eastAsia" w:asciiTheme="majorEastAsia" w:hAnsiTheme="majorEastAsia" w:eastAsiaTheme="majorEastAsia"/>
          <w:b/>
          <w:sz w:val="44"/>
          <w:szCs w:val="44"/>
        </w:rPr>
        <w:t>201</w:t>
      </w:r>
      <w:bookmarkStart w:id="2" w:name="OLE_LINK3"/>
      <w:bookmarkStart w:id="3" w:name="OLE_LINK4"/>
      <w:r>
        <w:rPr>
          <w:rFonts w:hint="eastAsia" w:asciiTheme="majorEastAsia" w:hAnsiTheme="majorEastAsia" w:eastAsiaTheme="majorEastAsia"/>
          <w:b/>
          <w:sz w:val="44"/>
          <w:szCs w:val="44"/>
        </w:rPr>
        <w:t>9年度教育质量报告</w:t>
      </w:r>
      <w:bookmarkEnd w:id="0"/>
      <w:bookmarkEnd w:id="1"/>
      <w:bookmarkEnd w:id="2"/>
      <w:bookmarkEnd w:id="3"/>
    </w:p>
    <w:p>
      <w:pPr>
        <w:jc w:val="center"/>
        <w:rPr>
          <w:rFonts w:asciiTheme="majorEastAsia" w:hAnsiTheme="majorEastAsia" w:eastAsiaTheme="majorEastAsia"/>
          <w:b/>
          <w:szCs w:val="21"/>
        </w:rPr>
      </w:pPr>
    </w:p>
    <w:p>
      <w:pPr>
        <w:pStyle w:val="10"/>
        <w:ind w:firstLine="0" w:firstLineChars="0"/>
        <w:rPr>
          <w:rFonts w:hint="eastAsia" w:ascii="仿宋" w:hAnsi="仿宋" w:eastAsia="仿宋"/>
          <w:b/>
          <w:sz w:val="32"/>
          <w:szCs w:val="32"/>
        </w:rPr>
      </w:pPr>
    </w:p>
    <w:p>
      <w:pPr>
        <w:pStyle w:val="10"/>
        <w:ind w:firstLine="0" w:firstLineChars="0"/>
        <w:rPr>
          <w:rFonts w:ascii="仿宋" w:hAnsi="仿宋" w:eastAsia="仿宋"/>
          <w:b/>
          <w:sz w:val="32"/>
          <w:szCs w:val="32"/>
        </w:rPr>
      </w:pPr>
      <w:r>
        <w:rPr>
          <w:rFonts w:hint="eastAsia" w:ascii="仿宋" w:hAnsi="仿宋" w:eastAsia="仿宋"/>
          <w:b/>
          <w:sz w:val="32"/>
          <w:szCs w:val="32"/>
        </w:rPr>
        <w:t xml:space="preserve"> </w:t>
      </w:r>
      <w:bookmarkStart w:id="4" w:name="_GoBack"/>
      <w:bookmarkEnd w:id="4"/>
      <w:r>
        <w:rPr>
          <w:rFonts w:hint="eastAsia" w:ascii="仿宋" w:hAnsi="仿宋" w:eastAsia="仿宋"/>
          <w:b/>
          <w:sz w:val="32"/>
          <w:szCs w:val="32"/>
        </w:rPr>
        <w:t>一、学校基本情况</w:t>
      </w:r>
    </w:p>
    <w:p>
      <w:pPr>
        <w:pStyle w:val="10"/>
        <w:ind w:firstLine="643"/>
        <w:rPr>
          <w:rFonts w:ascii="仿宋" w:hAnsi="仿宋" w:eastAsia="仿宋"/>
          <w:b/>
          <w:bCs/>
          <w:sz w:val="32"/>
          <w:szCs w:val="32"/>
        </w:rPr>
      </w:pPr>
      <w:r>
        <w:rPr>
          <w:rFonts w:hint="eastAsia" w:ascii="仿宋" w:hAnsi="仿宋" w:eastAsia="仿宋"/>
          <w:b/>
          <w:bCs/>
          <w:sz w:val="32"/>
          <w:szCs w:val="32"/>
        </w:rPr>
        <w:t>1、办学规模</w:t>
      </w:r>
    </w:p>
    <w:p>
      <w:pPr>
        <w:ind w:firstLine="640" w:firstLineChars="200"/>
        <w:rPr>
          <w:rFonts w:ascii="仿宋" w:hAnsi="仿宋" w:eastAsia="仿宋"/>
          <w:sz w:val="32"/>
          <w:szCs w:val="32"/>
        </w:rPr>
      </w:pPr>
      <w:r>
        <w:rPr>
          <w:rFonts w:hint="eastAsia" w:ascii="仿宋" w:hAnsi="仿宋" w:eastAsia="仿宋"/>
          <w:sz w:val="32"/>
          <w:szCs w:val="32"/>
        </w:rPr>
        <w:t>陕西医科学校是经陕西省人民政府、陕西省教育厅批准成立的全日制医学类学校。学校位于陕西省杨凌示范区科教园区。学校占地226.6亩，建筑面积75300平方米，在校学生</w:t>
      </w:r>
      <w:r>
        <w:rPr>
          <w:rFonts w:hint="eastAsia" w:ascii="仿宋" w:hAnsi="仿宋" w:eastAsia="仿宋"/>
          <w:color w:val="000000" w:themeColor="text1"/>
          <w:sz w:val="32"/>
          <w:szCs w:val="32"/>
          <w14:textFill>
            <w14:solidFill>
              <w14:schemeClr w14:val="tx1"/>
            </w14:solidFill>
          </w14:textFill>
        </w:rPr>
        <w:t>1637</w:t>
      </w:r>
      <w:r>
        <w:rPr>
          <w:rFonts w:hint="eastAsia" w:ascii="仿宋" w:hAnsi="仿宋" w:eastAsia="仿宋"/>
          <w:sz w:val="32"/>
          <w:szCs w:val="32"/>
        </w:rPr>
        <w:t>人。多年来，我校依托名校资源优势，开展多层次、多形式办学及教科研活动，两次被陕西省教育厅评为省级示范学校，2008年3月被评为国家级重点学校。</w:t>
      </w:r>
    </w:p>
    <w:p>
      <w:pPr>
        <w:ind w:firstLine="640" w:firstLineChars="200"/>
        <w:rPr>
          <w:rFonts w:ascii="仿宋" w:hAnsi="仿宋" w:eastAsia="仿宋"/>
          <w:sz w:val="32"/>
          <w:szCs w:val="32"/>
        </w:rPr>
      </w:pPr>
      <w:r>
        <w:rPr>
          <w:rFonts w:hint="eastAsia" w:ascii="仿宋" w:hAnsi="仿宋" w:eastAsia="仿宋"/>
          <w:sz w:val="32"/>
          <w:szCs w:val="32"/>
        </w:rPr>
        <w:t>我校坚持“质量立校、管理创新、就业满意”的办学宗旨，不断深化课堂教学改革，强化实践教学和技能培训，注重对学生进行职业素养教育。大力推行工学结合的人才培养模式，积极探索校企合作产学结合的有效途径，先后与第四军医大学唐都医院、第四军医大学西京医院、解放军三二三医院等数百家部队、地方医院及医药卫生企事业单位建立了长期的用人合作关系，不断扩大就业网络。</w:t>
      </w:r>
    </w:p>
    <w:p>
      <w:pPr>
        <w:ind w:firstLine="643" w:firstLineChars="200"/>
        <w:rPr>
          <w:rFonts w:ascii="仿宋" w:hAnsi="仿宋" w:eastAsia="仿宋"/>
          <w:b/>
          <w:bCs/>
          <w:sz w:val="32"/>
          <w:szCs w:val="32"/>
        </w:rPr>
      </w:pPr>
      <w:r>
        <w:rPr>
          <w:rFonts w:hint="eastAsia" w:ascii="仿宋" w:hAnsi="仿宋" w:eastAsia="仿宋"/>
          <w:b/>
          <w:bCs/>
          <w:sz w:val="32"/>
          <w:szCs w:val="32"/>
        </w:rPr>
        <w:t>2、学生情况</w:t>
      </w:r>
    </w:p>
    <w:p>
      <w:pPr>
        <w:ind w:firstLine="640"/>
        <w:rPr>
          <w:rFonts w:ascii="仿宋" w:hAnsi="仿宋" w:eastAsia="仿宋"/>
          <w:sz w:val="32"/>
          <w:szCs w:val="32"/>
        </w:rPr>
      </w:pPr>
      <w:r>
        <w:rPr>
          <w:rFonts w:hint="eastAsia" w:ascii="仿宋" w:hAnsi="仿宋" w:eastAsia="仿宋"/>
          <w:sz w:val="32"/>
          <w:szCs w:val="32"/>
        </w:rPr>
        <w:t>我校通过省教育厅对陕西、甘肃、宁夏等省计划招生，招生专业有护理、药剂、助产、医学检验技术、医学影像技术、口腔修复工艺、康复技术等，学校现设27个教学班，在校生1637人，不断拓宽办学空间，增强了办学实力和核心竞争力。每年毕业季有计划的召开实习就业招聘会，按照双向选择的原则，为每一位毕业生提供多个对口专业岗位，确保毕业生就业专业对口。2019年，学生就业率达到99.1%，初次就业率达到96.3％，就业对口率达到98.6%，毕业生对学校的满意率达到95.7%。</w:t>
      </w:r>
    </w:p>
    <w:p>
      <w:pPr>
        <w:ind w:right="105" w:rightChars="50" w:firstLine="643" w:firstLineChars="200"/>
        <w:rPr>
          <w:rFonts w:ascii="仿宋" w:hAnsi="仿宋" w:eastAsia="仿宋"/>
          <w:b/>
          <w:bCs/>
          <w:sz w:val="32"/>
          <w:szCs w:val="32"/>
        </w:rPr>
      </w:pPr>
      <w:r>
        <w:rPr>
          <w:rFonts w:hint="eastAsia" w:ascii="仿宋" w:hAnsi="仿宋" w:eastAsia="仿宋"/>
          <w:b/>
          <w:bCs/>
          <w:sz w:val="32"/>
          <w:szCs w:val="32"/>
        </w:rPr>
        <w:t>3、教师队伍</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我校大力实施人才强校战略,以师德为主线，以教师专业发展为主题，激发教师的教学改革与教学创新活力，调动教职工服务学生与管理学生的积极性。一是加强技能型紧缺人才专业教师的储备，设立“双师型”教师项目专项经费，用于“双师型”人才培训和引进。二是通过学历提高培训、新知识培训、课程开发和实施能力培训、专业师资培训和专业课教师全员轮训等形式，大力开展在职教师“双师型”教师培训。三是通过引进、外聘等方式为我校吸纳储备了专职、兼职专业教师，建设了一支业务精湛、专兼结合、素质优良、充满活力的教师队伍。</w:t>
      </w:r>
    </w:p>
    <w:p>
      <w:pPr>
        <w:pStyle w:val="10"/>
        <w:ind w:right="105" w:rightChars="50" w:firstLine="0" w:firstLineChars="0"/>
        <w:jc w:val="center"/>
        <w:rPr>
          <w:rFonts w:ascii="仿宋" w:hAnsi="仿宋" w:eastAsia="仿宋" w:cs="宋体"/>
          <w:kern w:val="0"/>
          <w:sz w:val="32"/>
          <w:szCs w:val="32"/>
        </w:rPr>
      </w:pPr>
      <w:r>
        <w:rPr>
          <w:rFonts w:hint="eastAsia" w:ascii="仿宋" w:hAnsi="仿宋" w:eastAsia="仿宋" w:cs="宋体"/>
          <w:kern w:val="0"/>
          <w:sz w:val="32"/>
          <w:szCs w:val="32"/>
        </w:rPr>
        <w:t>资源表</w:t>
      </w:r>
    </w:p>
    <w:tbl>
      <w:tblPr>
        <w:tblStyle w:val="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内  容</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2018-2019学年度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在校学生人数</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教师人数</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生师比</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17.6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cs="宋体"/>
                <w:kern w:val="0"/>
                <w:sz w:val="32"/>
                <w:szCs w:val="32"/>
              </w:rPr>
            </w:pPr>
            <w:r>
              <w:rPr>
                <w:rFonts w:hint="eastAsia" w:ascii="仿宋" w:hAnsi="仿宋" w:eastAsia="仿宋" w:cs="宋体"/>
                <w:kern w:val="0"/>
                <w:sz w:val="32"/>
                <w:szCs w:val="32"/>
              </w:rPr>
              <w:t>“双师型”教师占专业课教师比例</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兼职教师占教师比例</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专任教师本科以上学历比例</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专任教师硕士以上学历比例</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00"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专任教师高级职称教师比例</w:t>
            </w:r>
          </w:p>
        </w:tc>
        <w:tc>
          <w:tcPr>
            <w:tcW w:w="3589"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30.1%</w:t>
            </w:r>
          </w:p>
        </w:tc>
      </w:tr>
    </w:tbl>
    <w:p>
      <w:pPr>
        <w:ind w:right="105" w:rightChars="50" w:firstLine="630" w:firstLineChars="196"/>
        <w:rPr>
          <w:rFonts w:hint="eastAsia" w:ascii="仿宋" w:hAnsi="仿宋" w:eastAsia="仿宋"/>
          <w:b/>
          <w:bCs/>
          <w:sz w:val="32"/>
          <w:szCs w:val="32"/>
        </w:rPr>
      </w:pPr>
    </w:p>
    <w:p>
      <w:pPr>
        <w:ind w:right="105" w:rightChars="50" w:firstLine="630" w:firstLineChars="196"/>
        <w:rPr>
          <w:rFonts w:ascii="仿宋" w:hAnsi="仿宋" w:eastAsia="仿宋"/>
          <w:b/>
          <w:bCs/>
          <w:sz w:val="32"/>
          <w:szCs w:val="32"/>
        </w:rPr>
      </w:pPr>
      <w:r>
        <w:rPr>
          <w:rFonts w:hint="eastAsia" w:ascii="仿宋" w:hAnsi="仿宋" w:eastAsia="仿宋"/>
          <w:b/>
          <w:bCs/>
          <w:sz w:val="32"/>
          <w:szCs w:val="32"/>
        </w:rPr>
        <w:t>4、设施设备</w:t>
      </w:r>
    </w:p>
    <w:p>
      <w:pPr>
        <w:pStyle w:val="10"/>
        <w:spacing w:line="700" w:lineRule="exact"/>
        <w:ind w:right="105" w:rightChars="50" w:firstLine="640"/>
        <w:rPr>
          <w:rFonts w:ascii="仿宋" w:hAnsi="仿宋" w:eastAsia="仿宋"/>
          <w:sz w:val="32"/>
          <w:szCs w:val="32"/>
        </w:rPr>
      </w:pPr>
      <w:r>
        <w:rPr>
          <w:rFonts w:hint="eastAsia" w:ascii="仿宋" w:hAnsi="仿宋" w:eastAsia="仿宋"/>
          <w:sz w:val="32"/>
          <w:szCs w:val="32"/>
        </w:rPr>
        <w:t xml:space="preserve">学校基础建设投资不断加大，教学实验设备等硬件设施先进，教学大楼、实训基地（医院、药厂等）、学生公寓、体育场地（塑胶跑道）、综合大楼（餐厅、超市、理发室、浴室）等教学生活设施不断改善，学校校园环境优美整洁，四季常绿，营造了温馨、和谐、优雅的学习环境，给学生创造了一个学习、实验实训、生活条件良好的环境。              </w:t>
      </w:r>
    </w:p>
    <w:p>
      <w:pPr>
        <w:pStyle w:val="10"/>
        <w:ind w:right="105" w:rightChars="50" w:firstLine="0" w:firstLineChars="0"/>
        <w:jc w:val="center"/>
        <w:rPr>
          <w:rFonts w:ascii="仿宋" w:hAnsi="仿宋" w:eastAsia="仿宋"/>
          <w:sz w:val="32"/>
          <w:szCs w:val="32"/>
        </w:rPr>
      </w:pPr>
      <w:r>
        <w:rPr>
          <w:rFonts w:hint="eastAsia" w:ascii="仿宋" w:hAnsi="仿宋" w:eastAsia="仿宋"/>
          <w:sz w:val="32"/>
          <w:szCs w:val="32"/>
        </w:rPr>
        <w:t>仪器设备统计表</w:t>
      </w:r>
    </w:p>
    <w:tbl>
      <w:tblPr>
        <w:tblStyle w:val="5"/>
        <w:tblW w:w="8222"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4636"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项  目</w:t>
            </w:r>
          </w:p>
        </w:tc>
        <w:tc>
          <w:tcPr>
            <w:tcW w:w="3586"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2018—2019学年度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463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cs="宋体"/>
                <w:kern w:val="0"/>
                <w:sz w:val="32"/>
                <w:szCs w:val="32"/>
              </w:rPr>
            </w:pPr>
            <w:r>
              <w:rPr>
                <w:rFonts w:hint="eastAsia" w:ascii="仿宋" w:hAnsi="仿宋" w:eastAsia="仿宋" w:cs="宋体"/>
                <w:kern w:val="0"/>
                <w:sz w:val="32"/>
                <w:szCs w:val="32"/>
              </w:rPr>
              <w:t>生均教学仪器设备值（元/人）</w:t>
            </w:r>
          </w:p>
        </w:tc>
        <w:tc>
          <w:tcPr>
            <w:tcW w:w="3586"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4756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463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cs="宋体"/>
                <w:kern w:val="0"/>
                <w:sz w:val="32"/>
                <w:szCs w:val="32"/>
              </w:rPr>
            </w:pPr>
            <w:r>
              <w:rPr>
                <w:rFonts w:hint="eastAsia" w:ascii="仿宋" w:hAnsi="仿宋" w:eastAsia="仿宋" w:cs="宋体"/>
                <w:kern w:val="0"/>
                <w:sz w:val="32"/>
                <w:szCs w:val="32"/>
              </w:rPr>
              <w:t>生均实训实习岗位数（个/人）</w:t>
            </w:r>
          </w:p>
        </w:tc>
        <w:tc>
          <w:tcPr>
            <w:tcW w:w="3586"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4636"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生均纸质图书（册/人）</w:t>
            </w:r>
          </w:p>
        </w:tc>
        <w:tc>
          <w:tcPr>
            <w:tcW w:w="3586" w:type="dxa"/>
            <w:tcBorders>
              <w:top w:val="single" w:color="auto" w:sz="4" w:space="0"/>
              <w:left w:val="single" w:color="auto" w:sz="4" w:space="0"/>
              <w:bottom w:val="single" w:color="auto" w:sz="4" w:space="0"/>
              <w:right w:val="single" w:color="auto" w:sz="4" w:space="0"/>
            </w:tcBorders>
            <w:vAlign w:val="center"/>
          </w:tcPr>
          <w:p>
            <w:pPr>
              <w:ind w:right="105" w:rightChars="50"/>
              <w:jc w:val="center"/>
              <w:rPr>
                <w:rFonts w:ascii="仿宋" w:hAnsi="仿宋" w:eastAsia="仿宋" w:cs="宋体"/>
                <w:kern w:val="0"/>
                <w:sz w:val="32"/>
                <w:szCs w:val="32"/>
              </w:rPr>
            </w:pPr>
            <w:r>
              <w:rPr>
                <w:rFonts w:hint="eastAsia" w:ascii="仿宋" w:hAnsi="仿宋" w:eastAsia="仿宋" w:cs="宋体"/>
                <w:kern w:val="0"/>
                <w:sz w:val="32"/>
                <w:szCs w:val="32"/>
              </w:rPr>
              <w:t>99</w:t>
            </w:r>
          </w:p>
        </w:tc>
      </w:tr>
    </w:tbl>
    <w:p>
      <w:pPr>
        <w:pStyle w:val="10"/>
        <w:ind w:right="105" w:rightChars="50" w:firstLine="630" w:firstLineChars="196"/>
        <w:jc w:val="left"/>
        <w:rPr>
          <w:rFonts w:ascii="仿宋" w:hAnsi="仿宋" w:eastAsia="仿宋" w:cs="宋体"/>
          <w:b/>
          <w:kern w:val="0"/>
          <w:sz w:val="32"/>
          <w:szCs w:val="32"/>
        </w:rPr>
      </w:pPr>
      <w:r>
        <w:rPr>
          <w:rFonts w:hint="eastAsia" w:ascii="仿宋" w:hAnsi="仿宋" w:eastAsia="仿宋" w:cs="宋体"/>
          <w:b/>
          <w:kern w:val="0"/>
          <w:sz w:val="32"/>
          <w:szCs w:val="32"/>
        </w:rPr>
        <w:t>二、学生发展</w:t>
      </w:r>
    </w:p>
    <w:p>
      <w:pPr>
        <w:pStyle w:val="10"/>
        <w:ind w:right="105" w:rightChars="50" w:firstLine="0" w:firstLineChars="0"/>
        <w:jc w:val="left"/>
        <w:rPr>
          <w:rFonts w:ascii="仿宋" w:hAnsi="仿宋" w:eastAsia="仿宋" w:cs="宋体"/>
          <w:b/>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bCs/>
          <w:kern w:val="0"/>
          <w:sz w:val="32"/>
          <w:szCs w:val="32"/>
        </w:rPr>
        <w:t>1、学生素质</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学校坚持育人为本，突出以诚信、敬业为重点的职业道德教育和创业教育，实施心理健康教育和职业生涯规划教育, 发挥学校教育、家庭教育和社会教育的作用，把学生培养成为具有良好思想道德品质、熟练的职业技能、善于创业竞争的高素质人才。一是坚持德育为首、以德树人。重视加强班主任队伍建设，提高班主任的管理水平和工作能力；二是强化学生个体良好品德行为习惯的养成，探索学生良好心理素质形成的规律与方法；三是注重加强学生日常行为规范、文明礼貌和养成教育，提高学生自我综合素质；四是重视开展法律进学校，以公民道德和普法教育为重点，加强对学生的法制、消防安全、交通安全、卫生保健、禁黄赌毒等知识教育；五是坚持以活动为载体，组织开展网上祭英烈、校园运动会、迎国庆文艺汇演、迎元旦汇演等活动，寓教于乐，培养了学生良好的行为品质，促进学生全面发展和健康成长。              </w:t>
      </w:r>
    </w:p>
    <w:p>
      <w:pPr>
        <w:spacing w:line="560" w:lineRule="exact"/>
        <w:ind w:firstLine="640" w:firstLineChars="200"/>
        <w:jc w:val="center"/>
        <w:rPr>
          <w:rFonts w:ascii="仿宋" w:hAnsi="仿宋" w:eastAsia="仿宋" w:cs="宋体"/>
          <w:b/>
          <w:bCs/>
          <w:kern w:val="0"/>
          <w:sz w:val="32"/>
          <w:szCs w:val="32"/>
        </w:rPr>
      </w:pPr>
      <w:r>
        <w:rPr>
          <w:rFonts w:hint="eastAsia" w:ascii="宋体" w:hAnsi="宋体" w:eastAsia="仿宋" w:cs="宋体"/>
          <w:kern w:val="0"/>
          <w:sz w:val="32"/>
          <w:szCs w:val="32"/>
        </w:rPr>
        <w:t> </w:t>
      </w:r>
      <w:r>
        <w:rPr>
          <w:rFonts w:hint="eastAsia" w:ascii="仿宋" w:hAnsi="仿宋" w:eastAsia="仿宋" w:cs="宋体"/>
          <w:b/>
          <w:bCs/>
          <w:kern w:val="0"/>
          <w:sz w:val="32"/>
          <w:szCs w:val="32"/>
        </w:rPr>
        <w:t>2018—2019学年度学生合格率</w:t>
      </w:r>
    </w:p>
    <w:tbl>
      <w:tblPr>
        <w:tblStyle w:val="5"/>
        <w:tblpPr w:leftFromText="180" w:rightFromText="180" w:vertAnchor="text" w:tblpY="234"/>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宋体" w:hAnsi="宋体" w:eastAsia="仿宋" w:cs="宋体"/>
                <w:kern w:val="0"/>
                <w:sz w:val="32"/>
                <w:szCs w:val="32"/>
              </w:rPr>
              <w:t>项  目</w:t>
            </w:r>
          </w:p>
        </w:tc>
        <w:tc>
          <w:tcPr>
            <w:tcW w:w="4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2018-2019学年度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学生文化课合格率</w:t>
            </w:r>
          </w:p>
        </w:tc>
        <w:tc>
          <w:tcPr>
            <w:tcW w:w="4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学生技能合格率</w:t>
            </w:r>
          </w:p>
        </w:tc>
        <w:tc>
          <w:tcPr>
            <w:tcW w:w="4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体质测评合格率</w:t>
            </w:r>
          </w:p>
        </w:tc>
        <w:tc>
          <w:tcPr>
            <w:tcW w:w="4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毕业率</w:t>
            </w:r>
          </w:p>
        </w:tc>
        <w:tc>
          <w:tcPr>
            <w:tcW w:w="4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100%</w:t>
            </w:r>
          </w:p>
        </w:tc>
      </w:tr>
    </w:tbl>
    <w:p>
      <w:pPr>
        <w:ind w:firstLine="643" w:firstLineChars="200"/>
        <w:jc w:val="left"/>
        <w:rPr>
          <w:rFonts w:ascii="仿宋" w:hAnsi="仿宋" w:eastAsia="仿宋" w:cs="宋体"/>
          <w:kern w:val="0"/>
          <w:sz w:val="32"/>
          <w:szCs w:val="32"/>
        </w:rPr>
      </w:pPr>
      <w:r>
        <w:rPr>
          <w:rFonts w:hint="eastAsia" w:ascii="仿宋" w:hAnsi="仿宋" w:eastAsia="仿宋" w:cs="Tahoma"/>
          <w:b/>
          <w:bCs/>
          <w:kern w:val="0"/>
          <w:sz w:val="32"/>
          <w:szCs w:val="32"/>
        </w:rPr>
        <w:t>2、在校体验</w:t>
      </w:r>
    </w:p>
    <w:p>
      <w:pPr>
        <w:ind w:firstLine="640" w:firstLineChars="200"/>
        <w:jc w:val="left"/>
        <w:rPr>
          <w:rFonts w:ascii="仿宋" w:hAnsi="仿宋" w:eastAsia="仿宋" w:cs="Tahoma"/>
          <w:kern w:val="0"/>
          <w:sz w:val="32"/>
          <w:szCs w:val="32"/>
        </w:rPr>
      </w:pPr>
      <w:r>
        <w:rPr>
          <w:rFonts w:hint="eastAsia" w:ascii="仿宋" w:hAnsi="仿宋" w:eastAsia="仿宋" w:cs="Tahoma"/>
          <w:kern w:val="0"/>
          <w:sz w:val="32"/>
          <w:szCs w:val="32"/>
        </w:rPr>
        <w:t>（1）理论学习满意度：通过问卷调查、个别访谈、集中座谈等形式，我校学生对理论学习的满意度达到97.8%。学校高度重视对学生专业理论课教学的研究与考核，学校在各类教学测试中成绩不断刷新，呈现以下特色：一是采用理实一体化教学模式，要求所有理论课老师不断深化“教学做合一”的课堂实践研究，贯彻“做字当头、学贯始终，相机而教”的理念，把学生动手与学校实践教学有机结合起来，收到了良好效果。二是学校在教师教学成果考核中，要求教师理论教学从学生的基础出发，因材施教，采取“小步快跑”的方式，激发学生专业学习的积极性，通过加强学生的自习课、辅导课培训，提高学生的理论课成绩。</w:t>
      </w:r>
    </w:p>
    <w:p>
      <w:pPr>
        <w:ind w:firstLine="640" w:firstLineChars="200"/>
        <w:jc w:val="left"/>
        <w:rPr>
          <w:rFonts w:ascii="仿宋" w:hAnsi="仿宋" w:eastAsia="仿宋" w:cs="Tahoma"/>
          <w:kern w:val="0"/>
          <w:sz w:val="32"/>
          <w:szCs w:val="32"/>
        </w:rPr>
      </w:pPr>
      <w:r>
        <w:rPr>
          <w:rFonts w:hint="eastAsia" w:ascii="仿宋" w:hAnsi="仿宋" w:eastAsia="仿宋" w:cs="Tahoma"/>
          <w:bCs/>
          <w:kern w:val="0"/>
          <w:sz w:val="32"/>
          <w:szCs w:val="32"/>
        </w:rPr>
        <w:t>（2）专业学习满意度</w:t>
      </w:r>
      <w:r>
        <w:rPr>
          <w:rFonts w:hint="eastAsia" w:ascii="仿宋" w:hAnsi="仿宋" w:eastAsia="仿宋" w:cs="Tahoma"/>
          <w:kern w:val="0"/>
          <w:sz w:val="32"/>
          <w:szCs w:val="32"/>
        </w:rPr>
        <w:t>：通过个别访谈、家长交流等形式，我校学生对专业学习的满意度达到98%。学校一直重视对专业</w:t>
      </w:r>
      <w:r>
        <w:rPr>
          <w:rFonts w:hint="eastAsia" w:ascii="仿宋" w:hAnsi="仿宋" w:eastAsia="仿宋" w:cs="Tahoma"/>
          <w:color w:val="333333"/>
          <w:kern w:val="0"/>
          <w:sz w:val="32"/>
          <w:szCs w:val="32"/>
        </w:rPr>
        <w:t xml:space="preserve">的设置，从国家产业政策、行业发展前景和企业经营动态出发，确保专业满意度不断提升。一是提升优势专业的办学能力，在各种学习形式中注意培养学生的核心素养，提高学生学习本专业的兴趣。二是发挥本地区行业内强势企业的影响力，通过成功企业家的讲座，让学生感受到专业发展的美好未来，从而提高了学生专业学习的主动性。三是提高教师的业务素质和能力。通过优质、高效课堂授课，让学生们学好基础知识和专业知识。 </w:t>
      </w:r>
    </w:p>
    <w:p>
      <w:pPr>
        <w:ind w:firstLine="640" w:firstLineChars="200"/>
        <w:jc w:val="left"/>
        <w:rPr>
          <w:rFonts w:ascii="仿宋" w:hAnsi="仿宋" w:eastAsia="仿宋" w:cs="Tahoma"/>
          <w:kern w:val="0"/>
          <w:sz w:val="32"/>
          <w:szCs w:val="32"/>
        </w:rPr>
      </w:pPr>
      <w:r>
        <w:rPr>
          <w:rFonts w:hint="eastAsia" w:ascii="仿宋" w:hAnsi="仿宋" w:eastAsia="仿宋" w:cs="Tahoma"/>
          <w:bCs/>
          <w:color w:val="333333"/>
          <w:kern w:val="0"/>
          <w:sz w:val="32"/>
          <w:szCs w:val="32"/>
        </w:rPr>
        <w:t>（3）实训实习满意度</w:t>
      </w:r>
      <w:r>
        <w:rPr>
          <w:rFonts w:hint="eastAsia" w:ascii="仿宋" w:hAnsi="仿宋" w:eastAsia="仿宋" w:cs="Tahoma"/>
          <w:color w:val="333333"/>
          <w:kern w:val="0"/>
          <w:sz w:val="32"/>
          <w:szCs w:val="32"/>
        </w:rPr>
        <w:t xml:space="preserve">：通过对实训实习学生的集中走访和电话了解，我校学生对实训实习满意度达到98.6%。安排好学生的实习实训是我校的一项重要工作，对于学生的成长和发展有着至关重要的意义。我校近年来一直坚持以下做法，以提高学生实习实训满意度。一是明确实习实训要求，让学生带着问题和目标参加实习和训练。二是严格执行实习实训规程，让学生在规范的要求中掌握技能，执行医院与学校之间零距离标准。三是严抓实习实训过程，确保阶段性实训教学效率指数。四是注重实习实训结果运用，根据学生的实践成绩，对教师今后的教学工作进行调整、优化，切实提高了实习实训效率。 </w:t>
      </w:r>
    </w:p>
    <w:p>
      <w:pPr>
        <w:ind w:firstLine="640" w:firstLineChars="200"/>
        <w:jc w:val="left"/>
        <w:rPr>
          <w:rFonts w:ascii="仿宋" w:hAnsi="仿宋" w:eastAsia="仿宋" w:cs="Tahoma"/>
          <w:kern w:val="0"/>
          <w:sz w:val="32"/>
          <w:szCs w:val="32"/>
        </w:rPr>
      </w:pPr>
      <w:r>
        <w:rPr>
          <w:rFonts w:hint="eastAsia" w:ascii="仿宋" w:hAnsi="仿宋" w:eastAsia="仿宋" w:cs="Tahoma"/>
          <w:bCs/>
          <w:color w:val="333333"/>
          <w:kern w:val="0"/>
          <w:sz w:val="32"/>
          <w:szCs w:val="32"/>
        </w:rPr>
        <w:t>（4）校园文化和社团活动满意度</w:t>
      </w:r>
      <w:r>
        <w:rPr>
          <w:rFonts w:hint="eastAsia" w:ascii="仿宋" w:hAnsi="仿宋" w:eastAsia="仿宋" w:cs="Tahoma"/>
          <w:color w:val="333333"/>
          <w:kern w:val="0"/>
          <w:sz w:val="32"/>
          <w:szCs w:val="32"/>
        </w:rPr>
        <w:t xml:space="preserve">：通过座谈会和对参加社团活动学生的了解，我校学生对校园文化和社团活动满意度达到99%。我校历来注重校园文化建设，积极开展社团活动。一是对校园文化进行专题研究，帮助全体师生深刻理解学校的校园文化内涵和实质。二是对精神层面的校园文化，主要通过国旗下演讲、学习校友故事、体育活动、专题演讲会、书画社团活动、歌咏比赛、文艺晚会等形式进行校园文化建设。三是对物质层面的校园文化，主要通过校史展板、班级板报、校园新闻广播等形式加以落实。四是学校设立了十多个学生社团，主要涉及人文素养、文明礼仪、专业爱好和体育养生等内容，留出专门时间开展社团活动，做到计划、场地、考核、成效“四落实”。通过开展校园文化建设和社团活动，极大地促进了学生综合能力的提高。 </w:t>
      </w:r>
    </w:p>
    <w:p>
      <w:pPr>
        <w:ind w:firstLine="640" w:firstLineChars="200"/>
        <w:jc w:val="left"/>
        <w:rPr>
          <w:rFonts w:ascii="仿宋" w:hAnsi="仿宋" w:eastAsia="仿宋" w:cs="Tahoma"/>
          <w:color w:val="333333"/>
          <w:kern w:val="0"/>
          <w:sz w:val="32"/>
          <w:szCs w:val="32"/>
        </w:rPr>
      </w:pPr>
      <w:r>
        <w:rPr>
          <w:rFonts w:hint="eastAsia" w:ascii="仿宋" w:hAnsi="仿宋" w:eastAsia="仿宋" w:cs="Tahoma"/>
          <w:bCs/>
          <w:color w:val="333333"/>
          <w:kern w:val="0"/>
          <w:sz w:val="32"/>
          <w:szCs w:val="32"/>
        </w:rPr>
        <w:t>（5）学生生活满意度</w:t>
      </w:r>
      <w:r>
        <w:rPr>
          <w:rFonts w:hint="eastAsia" w:ascii="仿宋" w:hAnsi="仿宋" w:eastAsia="仿宋" w:cs="Tahoma"/>
          <w:color w:val="333333"/>
          <w:kern w:val="0"/>
          <w:sz w:val="32"/>
          <w:szCs w:val="32"/>
        </w:rPr>
        <w:t>：通过班级干部座谈和生活困难学生的座谈，我校学生对生活满意度达到92.7%。一是学生公寓环境优美条件好，食堂物美价廉饭菜香。二是对生活困难的学生精准扶贫，帮助他们完成学业。三是学生管理树立“爱生如子”的理念，号召教职工对特困学生献爱心、冬季送温暖。四是学校对特困学生减免学杂费和给予生活补助。</w:t>
      </w:r>
    </w:p>
    <w:p>
      <w:pPr>
        <w:ind w:firstLine="640" w:firstLineChars="200"/>
        <w:jc w:val="left"/>
        <w:rPr>
          <w:rFonts w:ascii="仿宋" w:hAnsi="仿宋" w:eastAsia="仿宋" w:cs="Tahoma"/>
          <w:kern w:val="0"/>
          <w:sz w:val="32"/>
          <w:szCs w:val="32"/>
        </w:rPr>
      </w:pPr>
      <w:r>
        <w:rPr>
          <w:rFonts w:hint="eastAsia" w:ascii="仿宋" w:hAnsi="仿宋" w:eastAsia="仿宋" w:cs="Tahoma"/>
          <w:bCs/>
          <w:color w:val="333333"/>
          <w:kern w:val="0"/>
          <w:sz w:val="32"/>
          <w:szCs w:val="32"/>
        </w:rPr>
        <w:t>（6）校园安全满意度</w:t>
      </w:r>
      <w:r>
        <w:rPr>
          <w:rFonts w:hint="eastAsia" w:ascii="仿宋" w:hAnsi="仿宋" w:eastAsia="仿宋" w:cs="Tahoma"/>
          <w:color w:val="333333"/>
          <w:kern w:val="0"/>
          <w:sz w:val="32"/>
          <w:szCs w:val="32"/>
        </w:rPr>
        <w:t xml:space="preserve">：我校近年来没有发生学生安全事故，学生对校园安全满意度达到99.8%。一是学校设立了安全领导小组，分工明确、责任到人。二是学校一直设有保卫科，安排责任心强的同志负责此项工作。三是学生公寓每天晚上值班查宿，不准学生校外留宿。四是安全考核工作执行周检查、月考评制度，发现问题及时解决。五是每学期集中开展一次学生安全疏散、逃生自救消防演练。六是经常邀请杨凌消防支队、驻地派出所、交警支队到学校开展消防知识、法制和交通安全专题讲座，提高全校师生的安全意识和防范能力。 </w:t>
      </w:r>
    </w:p>
    <w:p>
      <w:pPr>
        <w:ind w:firstLine="640" w:firstLineChars="200"/>
        <w:jc w:val="left"/>
        <w:rPr>
          <w:rFonts w:ascii="仿宋" w:hAnsi="仿宋" w:eastAsia="仿宋" w:cs="Tahoma"/>
          <w:kern w:val="0"/>
          <w:sz w:val="32"/>
          <w:szCs w:val="32"/>
        </w:rPr>
      </w:pPr>
      <w:r>
        <w:rPr>
          <w:rFonts w:hint="eastAsia" w:ascii="仿宋" w:hAnsi="仿宋" w:eastAsia="仿宋" w:cs="Tahoma"/>
          <w:bCs/>
          <w:color w:val="333333"/>
          <w:kern w:val="0"/>
          <w:sz w:val="32"/>
          <w:szCs w:val="32"/>
        </w:rPr>
        <w:t>（7）毕业生对母校的满意度</w:t>
      </w:r>
      <w:r>
        <w:rPr>
          <w:rFonts w:hint="eastAsia" w:ascii="仿宋" w:hAnsi="仿宋" w:eastAsia="仿宋" w:cs="Tahoma"/>
          <w:color w:val="333333"/>
          <w:kern w:val="0"/>
          <w:sz w:val="32"/>
          <w:szCs w:val="32"/>
        </w:rPr>
        <w:t>：通过专题走访和电话联系，我校毕业生对学校的满意度高达97.3%。我校培养出来的学生质量高，医学类专业毕业生需大于供。许多毕业生经常打电话询问了解学校的办学情况，还有一些毕业生主动到学校来与在校学生见面，通过交谈，激励他们好好学习，掌握好技能本领，就业无后顾之忧。</w:t>
      </w:r>
    </w:p>
    <w:p>
      <w:pPr>
        <w:ind w:firstLine="643" w:firstLineChars="200"/>
        <w:jc w:val="left"/>
        <w:rPr>
          <w:rFonts w:ascii="仿宋" w:hAnsi="仿宋" w:eastAsia="仿宋" w:cs="Tahoma"/>
          <w:kern w:val="0"/>
          <w:sz w:val="32"/>
          <w:szCs w:val="32"/>
        </w:rPr>
      </w:pPr>
      <w:r>
        <w:rPr>
          <w:rFonts w:hint="eastAsia" w:ascii="仿宋" w:hAnsi="仿宋" w:eastAsia="仿宋" w:cs="Tahoma"/>
          <w:b/>
          <w:bCs/>
          <w:color w:val="333333"/>
          <w:kern w:val="0"/>
          <w:sz w:val="32"/>
          <w:szCs w:val="32"/>
        </w:rPr>
        <w:t>3、资助情况</w:t>
      </w:r>
    </w:p>
    <w:p>
      <w:pPr>
        <w:shd w:val="clear" w:color="auto" w:fill="FFFFFF"/>
        <w:spacing w:line="700" w:lineRule="exact"/>
        <w:ind w:firstLine="142"/>
        <w:rPr>
          <w:rFonts w:ascii="仿宋" w:hAnsi="仿宋" w:eastAsia="仿宋" w:cs="Tahoma"/>
          <w:color w:val="333333"/>
          <w:kern w:val="0"/>
          <w:sz w:val="32"/>
          <w:szCs w:val="32"/>
        </w:rPr>
      </w:pPr>
      <w:r>
        <w:rPr>
          <w:rFonts w:hint="eastAsia" w:ascii="仿宋" w:hAnsi="仿宋" w:eastAsia="仿宋" w:cs="Tahoma"/>
          <w:color w:val="333333"/>
          <w:kern w:val="0"/>
          <w:sz w:val="32"/>
          <w:szCs w:val="32"/>
        </w:rPr>
        <w:t xml:space="preserve">   我校根据国家《中等职业学校国家助学金管理暂行办法》，制定了《陕西医科学校学生资助工作暂行办法》和《陕西医科学校国家助学金管理及发放实施细则》以及《陕西医科学校国家助学金管理制度》，张贴上墙，明确工作职责，明确工作流程。严格按照工作流程进行注册、登记、审核、公示，确保学生资助工作规范、顺利完成。同时，我校在国家助学金评审及发放工作中，注重给学生开展广泛的感恩教育、诚信教育，培养学生刻苦学习、知恩图报、诚信为人的良好品质，实现了资助育人。</w:t>
      </w:r>
    </w:p>
    <w:p>
      <w:pPr>
        <w:spacing w:line="70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4、 就业质量</w:t>
      </w:r>
    </w:p>
    <w:p>
      <w:pPr>
        <w:spacing w:line="7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为培养学生就业稳业能力，我校开设了就业指导课，加大就业指导力度。一是让学生清醒认识我国现阶段市场经济条件下的就业形势，了解就业的影响因素，明确自己的就业方向，逐步学会观察分析就业形势，形成自己的就业观。二是加强在校学习时的就业能力教育，让学生知道就业需要有真才实学和能力，有了个人能力才能变被动就业为主动就业。三是进行毕业前的就业技巧教育，给学生传授求职就业过程中的一些方法和技巧，鼓励学生利用假期进行社会实践，加强对教学见习的管理，完善实习的跟踪指导，在学校开展模拟招聘会，通过就业能力培养和培训，学生就业稳业能力明显提升，用人单位满意度明显提高。</w:t>
      </w:r>
    </w:p>
    <w:p>
      <w:pPr>
        <w:spacing w:line="700" w:lineRule="exact"/>
        <w:ind w:firstLine="640" w:firstLineChars="200"/>
        <w:rPr>
          <w:rFonts w:ascii="仿宋" w:hAnsi="仿宋" w:eastAsia="仿宋"/>
          <w:sz w:val="32"/>
          <w:szCs w:val="32"/>
        </w:rPr>
      </w:pPr>
      <w:r>
        <w:rPr>
          <w:rFonts w:hint="eastAsia" w:ascii="仿宋" w:hAnsi="仿宋" w:eastAsia="仿宋" w:cs="宋体"/>
          <w:kern w:val="0"/>
          <w:sz w:val="32"/>
          <w:szCs w:val="32"/>
        </w:rPr>
        <w:t>近几年来，我校学生就业情况良好，就业率一直保持在98%以上。</w:t>
      </w:r>
      <w:r>
        <w:rPr>
          <w:rFonts w:hint="eastAsia" w:ascii="仿宋" w:hAnsi="仿宋" w:eastAsia="仿宋"/>
          <w:sz w:val="32"/>
          <w:szCs w:val="32"/>
        </w:rPr>
        <w:t>我校坚持把学生就业当成头等大事来抓，设立专门机构，拨付专项资金，有专人负责开拓市场。近两年的就业情况统计如下：</w:t>
      </w:r>
    </w:p>
    <w:p>
      <w:pPr>
        <w:spacing w:line="700" w:lineRule="exact"/>
        <w:ind w:firstLine="640" w:firstLineChars="200"/>
        <w:rPr>
          <w:rFonts w:ascii="仿宋" w:hAnsi="仿宋" w:eastAsia="仿宋"/>
          <w:sz w:val="32"/>
          <w:szCs w:val="32"/>
        </w:rPr>
      </w:pPr>
    </w:p>
    <w:p>
      <w:pPr>
        <w:ind w:firstLine="800" w:firstLineChars="250"/>
        <w:rPr>
          <w:rFonts w:ascii="仿宋" w:hAnsi="仿宋" w:eastAsia="仿宋"/>
          <w:sz w:val="32"/>
          <w:szCs w:val="32"/>
        </w:rPr>
      </w:pPr>
      <w:r>
        <w:rPr>
          <w:rFonts w:hint="eastAsia" w:ascii="仿宋" w:hAnsi="仿宋" w:eastAsia="仿宋"/>
          <w:sz w:val="32"/>
          <w:szCs w:val="32"/>
        </w:rPr>
        <w:t>2018—2019年陕西医科学校毕业生就业情况表</w:t>
      </w:r>
    </w:p>
    <w:tbl>
      <w:tblPr>
        <w:tblStyle w:val="6"/>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51"/>
        <w:gridCol w:w="992"/>
        <w:gridCol w:w="1134"/>
        <w:gridCol w:w="1136"/>
        <w:gridCol w:w="1155"/>
        <w:gridCol w:w="186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8"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年份</w:t>
            </w:r>
          </w:p>
        </w:tc>
        <w:tc>
          <w:tcPr>
            <w:tcW w:w="851"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毕业人数</w:t>
            </w:r>
          </w:p>
        </w:tc>
        <w:tc>
          <w:tcPr>
            <w:tcW w:w="992"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就业人数</w:t>
            </w:r>
          </w:p>
        </w:tc>
        <w:tc>
          <w:tcPr>
            <w:tcW w:w="1134"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对口就业人数</w:t>
            </w:r>
          </w:p>
        </w:tc>
        <w:tc>
          <w:tcPr>
            <w:tcW w:w="1136"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就业率</w:t>
            </w:r>
          </w:p>
        </w:tc>
        <w:tc>
          <w:tcPr>
            <w:tcW w:w="1155"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对口率</w:t>
            </w:r>
          </w:p>
        </w:tc>
        <w:tc>
          <w:tcPr>
            <w:tcW w:w="1863"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初次就业</w:t>
            </w:r>
          </w:p>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月 收 入</w:t>
            </w:r>
          </w:p>
        </w:tc>
        <w:tc>
          <w:tcPr>
            <w:tcW w:w="1073" w:type="dxa"/>
            <w:vAlign w:val="center"/>
          </w:tcPr>
          <w:p>
            <w:pPr>
              <w:spacing w:line="400" w:lineRule="exact"/>
              <w:jc w:val="center"/>
              <w:rPr>
                <w:rFonts w:ascii="仿宋" w:hAnsi="仿宋" w:eastAsia="仿宋" w:cs="Times New Roman"/>
                <w:kern w:val="0"/>
                <w:sz w:val="28"/>
                <w:szCs w:val="24"/>
              </w:rPr>
            </w:pPr>
            <w:r>
              <w:rPr>
                <w:rFonts w:hint="eastAsia" w:ascii="仿宋" w:hAnsi="仿宋" w:eastAsia="仿宋" w:cs="Times New Roman"/>
                <w:kern w:val="0"/>
                <w:sz w:val="28"/>
                <w:szCs w:val="24"/>
              </w:rPr>
              <w:t>创业率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98"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2018</w:t>
            </w:r>
          </w:p>
        </w:tc>
        <w:tc>
          <w:tcPr>
            <w:tcW w:w="851"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872</w:t>
            </w:r>
          </w:p>
        </w:tc>
        <w:tc>
          <w:tcPr>
            <w:tcW w:w="992"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860</w:t>
            </w:r>
          </w:p>
        </w:tc>
        <w:tc>
          <w:tcPr>
            <w:tcW w:w="1134"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829</w:t>
            </w:r>
          </w:p>
        </w:tc>
        <w:tc>
          <w:tcPr>
            <w:tcW w:w="1136"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98.6%</w:t>
            </w:r>
          </w:p>
        </w:tc>
        <w:tc>
          <w:tcPr>
            <w:tcW w:w="1155"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95.1%</w:t>
            </w:r>
          </w:p>
        </w:tc>
        <w:tc>
          <w:tcPr>
            <w:tcW w:w="1863"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平均2081元</w:t>
            </w:r>
          </w:p>
        </w:tc>
        <w:tc>
          <w:tcPr>
            <w:tcW w:w="1073"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8"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2019</w:t>
            </w:r>
          </w:p>
        </w:tc>
        <w:tc>
          <w:tcPr>
            <w:tcW w:w="851"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616</w:t>
            </w:r>
          </w:p>
        </w:tc>
        <w:tc>
          <w:tcPr>
            <w:tcW w:w="992"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610</w:t>
            </w:r>
          </w:p>
        </w:tc>
        <w:tc>
          <w:tcPr>
            <w:tcW w:w="1134"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602</w:t>
            </w:r>
          </w:p>
        </w:tc>
        <w:tc>
          <w:tcPr>
            <w:tcW w:w="1136"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99.1%</w:t>
            </w:r>
          </w:p>
        </w:tc>
        <w:tc>
          <w:tcPr>
            <w:tcW w:w="1155"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98.6%</w:t>
            </w:r>
          </w:p>
        </w:tc>
        <w:tc>
          <w:tcPr>
            <w:tcW w:w="1863"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平均2217元</w:t>
            </w:r>
          </w:p>
        </w:tc>
        <w:tc>
          <w:tcPr>
            <w:tcW w:w="1073" w:type="dxa"/>
            <w:vAlign w:val="center"/>
          </w:tcPr>
          <w:p>
            <w:pPr>
              <w:spacing w:line="400" w:lineRule="exact"/>
              <w:jc w:val="center"/>
              <w:rPr>
                <w:rFonts w:ascii="仿宋" w:hAnsi="仿宋" w:eastAsia="仿宋" w:cs="Times New Roman"/>
                <w:color w:val="000000" w:themeColor="text1"/>
                <w:kern w:val="0"/>
                <w:sz w:val="28"/>
                <w:szCs w:val="24"/>
                <w14:textFill>
                  <w14:solidFill>
                    <w14:schemeClr w14:val="tx1"/>
                  </w14:solidFill>
                </w14:textFill>
              </w:rPr>
            </w:pPr>
            <w:r>
              <w:rPr>
                <w:rFonts w:hint="eastAsia" w:ascii="仿宋" w:hAnsi="仿宋" w:eastAsia="仿宋" w:cs="Times New Roman"/>
                <w:color w:val="000000" w:themeColor="text1"/>
                <w:kern w:val="0"/>
                <w:sz w:val="28"/>
                <w:szCs w:val="24"/>
                <w14:textFill>
                  <w14:solidFill>
                    <w14:schemeClr w14:val="tx1"/>
                  </w14:solidFill>
                </w14:textFill>
              </w:rPr>
              <w:t>0.9%</w:t>
            </w:r>
          </w:p>
        </w:tc>
      </w:tr>
    </w:tbl>
    <w:p>
      <w:pPr>
        <w:ind w:left="160" w:hanging="160" w:hangingChars="5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 xml:space="preserve">2019年比2018年就业率提高了0.5%，对口率提高了3.5 %。 </w:t>
      </w:r>
    </w:p>
    <w:p>
      <w:pPr>
        <w:ind w:left="160" w:leftChars="76" w:firstLine="482" w:firstLineChars="150"/>
        <w:rPr>
          <w:rFonts w:ascii="仿宋" w:hAnsi="仿宋" w:eastAsia="仿宋"/>
          <w:b/>
          <w:bCs/>
          <w:sz w:val="32"/>
          <w:szCs w:val="32"/>
        </w:rPr>
      </w:pPr>
      <w:r>
        <w:rPr>
          <w:rFonts w:hint="eastAsia" w:ascii="仿宋" w:hAnsi="仿宋" w:eastAsia="仿宋"/>
          <w:b/>
          <w:bCs/>
          <w:sz w:val="32"/>
          <w:szCs w:val="32"/>
        </w:rPr>
        <w:t>5、职业发展</w:t>
      </w:r>
    </w:p>
    <w:p>
      <w:pPr>
        <w:ind w:leftChars="-76" w:hanging="160" w:hangingChars="50"/>
        <w:rPr>
          <w:rFonts w:ascii="仿宋" w:hAnsi="仿宋" w:eastAsia="仿宋"/>
          <w:sz w:val="32"/>
          <w:szCs w:val="32"/>
        </w:rPr>
      </w:pPr>
      <w:r>
        <w:rPr>
          <w:rFonts w:hint="eastAsia" w:ascii="仿宋" w:hAnsi="仿宋" w:eastAsia="仿宋"/>
          <w:sz w:val="32"/>
          <w:szCs w:val="32"/>
        </w:rPr>
        <w:t xml:space="preserve">     毕业生安置后，学校本着对学生和家长高度负责的态度，每年对近三年毕业的学生家庭进行走访，了解毕业生家庭情况和家长的反应，并建立了毕业生信息库，不断改进和完善就业安置工作。2019年3月份，学校分别对2016、2017、2018三年的毕业生进行家庭走访。通过走访了解，所有安置医院工作环境好，待遇好，学生满意，家长放心，受到社会各界的称赞。医院对我校的毕业生满意度较高，评价我校培养的毕业学生素质高、动手能力强、岗位适应能力强、肯吃苦、爱学习，能务实创新。</w:t>
      </w:r>
    </w:p>
    <w:p>
      <w:pPr>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三、质量保障措施</w:t>
      </w:r>
    </w:p>
    <w:p>
      <w:pPr>
        <w:ind w:left="160" w:hanging="160" w:hangingChars="50"/>
        <w:rPr>
          <w:rFonts w:ascii="仿宋" w:hAnsi="仿宋" w:eastAsia="仿宋"/>
          <w:sz w:val="32"/>
          <w:szCs w:val="32"/>
        </w:rPr>
      </w:pPr>
      <w:r>
        <w:rPr>
          <w:rFonts w:hint="eastAsia" w:ascii="仿宋" w:hAnsi="仿宋" w:eastAsia="仿宋" w:cs="宋体"/>
          <w:kern w:val="0"/>
          <w:sz w:val="32"/>
          <w:szCs w:val="32"/>
        </w:rPr>
        <w:t xml:space="preserve">    1、根据全国医学类学校专业设置及陕西省医学类人才需求，我校通过大量调查，坚持以市场需求为导向，进行了专业设置调整，设立了护理、医学检验技术、医学影像技术、药剂、康复技术等专业，形成合理的人才培养模式，学生就业渠道畅通，受到用人单位好评。</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2、严格按照教学大纲制定教学计划，开足开齐各类课程。学习研究教学大纲，贯彻执行大纲指导性意见，及时调整专业结构和人才培养方案，制定切实可行的教学计划，使学生真正能学到一技之长。</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3、加强教师培养，提升教师执教能力。鼓励教师进修，畅通学科带头人和“双师型”教师培养渠道，2019年有3名教师参加国家“双师型”教师培训，学校多次组织全体任课教师培训，提升教师教学能力，收到明显效果。</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4、立足教学常规管理。</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（1）抓好教学计划管理。</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我校根据实施性教学计划，制定“四表一志”即：校</w:t>
      </w:r>
    </w:p>
    <w:p>
      <w:pPr>
        <w:pStyle w:val="10"/>
        <w:ind w:left="105" w:leftChars="50" w:right="105" w:rightChars="50" w:firstLine="0" w:firstLineChars="0"/>
        <w:jc w:val="left"/>
        <w:rPr>
          <w:rFonts w:ascii="仿宋" w:hAnsi="仿宋" w:eastAsia="仿宋" w:cs="宋体"/>
          <w:kern w:val="0"/>
          <w:sz w:val="32"/>
          <w:szCs w:val="32"/>
        </w:rPr>
      </w:pPr>
      <w:r>
        <w:rPr>
          <w:rFonts w:hint="eastAsia" w:ascii="仿宋" w:hAnsi="仿宋" w:eastAsia="仿宋" w:cs="宋体"/>
          <w:kern w:val="0"/>
          <w:sz w:val="32"/>
          <w:szCs w:val="32"/>
        </w:rPr>
        <w:t>历表、作息时间表、教学进度表、课程安排表、教学日志，下达教学任务书，明确各阶段教学内容和重点。根据学校工作计划，制定教务处工作计划，组织教研组制定教研计划，组织教师编制授课计划，落实理论课、实验课、实训课教学内容。</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（2）抓好教学过程管理，建立查课制度。每周一次检查教案，规范听课制度，鼓励教师互相听课，开展示范课教学，以点带面。检查教师作业布置情况和教师作业批改情况，确保教学必要环节不打折扣。</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（3）抓好备课、上课、作业批改、教学反思工作。从基本环节抓起，教师目标明确，人人争当教学一线的行家里手，教学质量、授课水平有了显著提升。</w:t>
      </w:r>
    </w:p>
    <w:p>
      <w:pPr>
        <w:shd w:val="clear" w:color="auto" w:fill="FFFFFF"/>
        <w:ind w:firstLine="710" w:firstLineChars="221"/>
        <w:jc w:val="left"/>
        <w:rPr>
          <w:rFonts w:ascii="仿宋" w:hAnsi="仿宋" w:eastAsia="仿宋" w:cs="宋体"/>
          <w:b/>
          <w:bCs/>
          <w:kern w:val="0"/>
          <w:sz w:val="32"/>
          <w:szCs w:val="32"/>
        </w:rPr>
      </w:pPr>
      <w:r>
        <w:rPr>
          <w:rFonts w:hint="eastAsia" w:ascii="仿宋" w:hAnsi="仿宋" w:eastAsia="仿宋" w:cs="宋体"/>
          <w:b/>
          <w:bCs/>
          <w:kern w:val="0"/>
          <w:sz w:val="32"/>
          <w:szCs w:val="32"/>
        </w:rPr>
        <w:t>5、德育工作情况</w:t>
      </w:r>
    </w:p>
    <w:p>
      <w:pPr>
        <w:shd w:val="clear" w:color="auto" w:fill="FFFFFF"/>
        <w:jc w:val="left"/>
        <w:rPr>
          <w:rFonts w:ascii="仿宋" w:hAnsi="仿宋" w:eastAsia="仿宋" w:cs="宋体"/>
          <w:kern w:val="0"/>
          <w:sz w:val="32"/>
          <w:szCs w:val="32"/>
        </w:rPr>
      </w:pPr>
      <w:r>
        <w:rPr>
          <w:rFonts w:hint="eastAsia" w:ascii="仿宋" w:hAnsi="仿宋" w:eastAsia="仿宋" w:cs="宋体"/>
          <w:kern w:val="0"/>
          <w:sz w:val="32"/>
          <w:szCs w:val="32"/>
        </w:rPr>
        <w:t xml:space="preserve">    为了切实增强德育课的针对性和实效性，我校积极开展了实践教育、体验教育、养成教育等形式多样的德育活动。学校严格按照教育部《关于中等职业学校德育课课程设置与教学安排的意见》精神，认真组织开展了《职业生涯规划》、《职业道德与法律》、《经济政治与社会》、《哲学与人生》四门必修课的讲授，积极开设相关的选修课。建立健全了学校、家庭、社会相结合的德育工作网络，扎实开展了爱国主义、集体主义、文明礼貌、遵纪守法、健康安全等系列教育活动，逐步提高了学生的道德水准和遵纪守法、勤奋好学、积极上进的自觉性。</w:t>
      </w:r>
    </w:p>
    <w:p>
      <w:pPr>
        <w:shd w:val="clear" w:color="auto" w:fill="FFFFFF"/>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6、党建工作情况</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校一贯高度重视党组织建设工作，严格按照示范区党工委有关党建工作的要求，扎实开展了党建工作。一是组织党员干部和教职工认真学习了党章党规、习近平总书记系列讲话，认真讲好专题党课，深入开展研讨交流，教育引导党员干部牢固树立政治意识、大局意识、核心意识和看齐意识，进一步坚定理想信念，提高党性修养。二是落实党建工作责任，以加强服务型党组织建设为抓手，全面抓好制度建设、阵地建设、台账建设，严格落实“三会一课”、民主评议党员、民主生活会等制度，切实打牢基层党组织建设基础。三是严格落实《发展党员工作细则》，做好发展党员、党员教育管理、党组织关系转接、党员组织关系集中排查、党费年度收缴等工作，充分发挥基层党组织的战斗堡垒作用和党员的先锋模范作用。四是落实党风廉政建设主体责任和“一岗双责”，坚持把党风廉政建设与教育教学各项工作同部署、同落实、同检查。组织党员干部认真学习贯彻《中国共产党廉洁自律准则》、《中国共产党纪律处分条例》、《中国共产党问责条例》和各级党组织要求，不断加强党的纪律建设、作风建设和廉政建设，坚持开展“廉政文化进校园”活动，不断增强广大党员干部的廉政意识和拒腐防变能力。</w:t>
      </w:r>
    </w:p>
    <w:p>
      <w:pPr>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 校企合作</w:t>
      </w:r>
    </w:p>
    <w:p>
      <w:pPr>
        <w:ind w:firstLine="640" w:firstLineChars="200"/>
        <w:jc w:val="left"/>
        <w:rPr>
          <w:rFonts w:ascii="仿宋" w:hAnsi="仿宋" w:eastAsia="仿宋" w:cs="宋体"/>
          <w:b/>
          <w:kern w:val="0"/>
          <w:sz w:val="32"/>
          <w:szCs w:val="32"/>
        </w:rPr>
      </w:pPr>
      <w:r>
        <w:rPr>
          <w:rFonts w:hint="eastAsia" w:ascii="仿宋" w:hAnsi="仿宋" w:eastAsia="仿宋" w:cs="宋体"/>
          <w:kern w:val="0"/>
          <w:sz w:val="32"/>
          <w:szCs w:val="32"/>
        </w:rPr>
        <w:t>1、我校与省内外多家医院、药厂等建立了长期合作关</w:t>
      </w:r>
    </w:p>
    <w:p>
      <w:pPr>
        <w:pStyle w:val="10"/>
        <w:ind w:right="105" w:rightChars="50" w:firstLine="0" w:firstLineChars="0"/>
        <w:jc w:val="left"/>
        <w:rPr>
          <w:rFonts w:ascii="仿宋" w:hAnsi="仿宋" w:eastAsia="仿宋" w:cs="宋体"/>
          <w:kern w:val="0"/>
          <w:sz w:val="32"/>
          <w:szCs w:val="32"/>
        </w:rPr>
      </w:pPr>
      <w:r>
        <w:rPr>
          <w:rFonts w:hint="eastAsia" w:ascii="仿宋" w:hAnsi="仿宋" w:eastAsia="仿宋" w:cs="宋体"/>
          <w:kern w:val="0"/>
          <w:sz w:val="32"/>
          <w:szCs w:val="32"/>
        </w:rPr>
        <w:t>系，相互积极探索，扎实推进，共建课程体系，共建学生实训基地，共建双师型教师队伍，共促招生就业，实行专业对接、课程对接、实习对接，最终实现学校、医院、医药企业合作共赢。</w:t>
      </w:r>
    </w:p>
    <w:p>
      <w:pPr>
        <w:pStyle w:val="10"/>
        <w:ind w:left="105" w:leftChars="50"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2、我校高度重视校企合作项目，将校外实训基地作为重要形式之一。按照教学大纲要求，通过顶岗实习，对学生进行职业强化训练，使学生提前了解社会，增强岗位意识和岗位责任感，提高学生综合素质。我校与多家医院、制药企业医疗机构等签订了合作协议，共享资源，定期组织学生赴校外实训基地参加阶段性见习和顶岗实习，培养了学生吃苦精神，增强了学生岗位适应能力。</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 学生实习情况</w:t>
      </w:r>
    </w:p>
    <w:p>
      <w:pPr>
        <w:pStyle w:val="10"/>
        <w:ind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学生实习情况整体良好。我校从顶岗实习入手，着重培养学生的实践动手能力，提高学生综合职业能力，促进学生全面健康发展。一是认真做好实习生思想教育和就业指导工作，根据学生就业及思想变化情况，及时召开就业工作推进会议，把对毕业生的就业教育、创业教育、毕业教育作为重要内容，引导毕业生树立“先就业、再择业、后创业”的就业思想，注重培养他们的诚信意识，提高实习就业的稳定性。二是千方百计收集就业信息，提供周到细致的就业指导，努力开拓就业空间。三是积极跟踪学生实习情况，提供必要指导，重点培养学生具有一定的求职技能。四是组织优秀毕业生回校做报告，激励在校生努力学习专业技能，为走上社会打下坚实基础。2019年我校共计组织400余名学生去医院跟岗见习，先后组织130名学生去医院、药厂等相关企业顶岗实习，取得了良好效果。</w:t>
      </w:r>
    </w:p>
    <w:p>
      <w:pPr>
        <w:pStyle w:val="10"/>
        <w:ind w:right="105" w:rightChars="50" w:firstLine="0" w:firstLineChars="0"/>
        <w:jc w:val="left"/>
        <w:rPr>
          <w:rFonts w:ascii="仿宋" w:hAnsi="仿宋" w:eastAsia="仿宋" w:cs="宋体"/>
          <w:b/>
          <w:kern w:val="0"/>
          <w:sz w:val="32"/>
          <w:szCs w:val="32"/>
        </w:rPr>
      </w:pPr>
      <w:r>
        <w:rPr>
          <w:rFonts w:hint="eastAsia" w:ascii="仿宋" w:hAnsi="仿宋" w:eastAsia="仿宋" w:cs="宋体"/>
          <w:b/>
          <w:kern w:val="0"/>
          <w:sz w:val="32"/>
          <w:szCs w:val="32"/>
        </w:rPr>
        <w:t xml:space="preserve">    五、社会贡献</w:t>
      </w:r>
    </w:p>
    <w:p>
      <w:pPr>
        <w:pStyle w:val="10"/>
        <w:ind w:left="105" w:leftChars="50"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1、充分发挥医学类院校和专业优势。学校始终坚持以就业为导向，坚持行业、产业发展为需求的宗旨，加大社会服务工作力度，主动服务社会经济需要。建校以来，我校已为社会培养4万余名医学类应用型人才，他们正在自己的岗位上发挥自己的聪明才智。</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2、我校每年举办5-10期医学类相关专业的短期技能培训班，满足社会需求，增加学生就业的竞争力。</w:t>
      </w:r>
    </w:p>
    <w:p>
      <w:pPr>
        <w:pStyle w:val="10"/>
        <w:ind w:left="105" w:leftChars="50"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3、我校自2010年起投资承办全国卫生专业技术资格考试考点，为我校和杨凌周边地区的医学类考生考试提供了方便。</w:t>
      </w:r>
    </w:p>
    <w:p>
      <w:pPr>
        <w:pStyle w:val="10"/>
        <w:ind w:left="105" w:leftChars="50"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4、我校连续5年为杨凌农科城国际马拉松赛提供医疗志愿者服务，连续11年为杨凌农高会提供志愿者服务。</w:t>
      </w:r>
    </w:p>
    <w:p>
      <w:pPr>
        <w:pStyle w:val="10"/>
        <w:ind w:left="105" w:leftChars="50" w:right="105" w:rightChars="50" w:firstLine="640"/>
        <w:jc w:val="left"/>
        <w:rPr>
          <w:rFonts w:ascii="仿宋" w:hAnsi="仿宋" w:eastAsia="仿宋" w:cs="宋体"/>
          <w:kern w:val="0"/>
          <w:sz w:val="32"/>
          <w:szCs w:val="32"/>
        </w:rPr>
      </w:pPr>
      <w:r>
        <w:rPr>
          <w:rFonts w:hint="eastAsia" w:ascii="仿宋" w:hAnsi="仿宋" w:eastAsia="仿宋" w:cs="宋体"/>
          <w:kern w:val="0"/>
          <w:sz w:val="32"/>
          <w:szCs w:val="32"/>
        </w:rPr>
        <w:t>5、我校长期坚持开展医疗下乡、敬老院志愿者服务活动，多次被杨凌示范区团委、慈善协会评为先进志愿者服务单位。</w:t>
      </w:r>
    </w:p>
    <w:p>
      <w:pPr>
        <w:pStyle w:val="10"/>
        <w:ind w:left="105" w:leftChars="50" w:right="105" w:rightChars="50" w:firstLine="643"/>
        <w:jc w:val="left"/>
        <w:rPr>
          <w:rFonts w:ascii="仿宋" w:hAnsi="仿宋" w:eastAsia="仿宋" w:cs="宋体"/>
          <w:b/>
          <w:kern w:val="0"/>
          <w:sz w:val="32"/>
          <w:szCs w:val="32"/>
        </w:rPr>
      </w:pPr>
      <w:r>
        <w:rPr>
          <w:rFonts w:hint="eastAsia" w:ascii="仿宋" w:hAnsi="仿宋" w:eastAsia="仿宋" w:cs="宋体"/>
          <w:b/>
          <w:kern w:val="0"/>
          <w:sz w:val="32"/>
          <w:szCs w:val="32"/>
        </w:rPr>
        <w:t>六、举办者履职</w:t>
      </w:r>
    </w:p>
    <w:p>
      <w:pPr>
        <w:ind w:firstLine="640" w:firstLineChars="200"/>
        <w:rPr>
          <w:rFonts w:ascii="仿宋" w:hAnsi="仿宋" w:eastAsia="仿宋"/>
          <w:sz w:val="32"/>
          <w:szCs w:val="32"/>
        </w:rPr>
      </w:pPr>
      <w:r>
        <w:rPr>
          <w:rFonts w:hint="eastAsia" w:ascii="仿宋" w:hAnsi="仿宋" w:eastAsia="仿宋"/>
          <w:sz w:val="32"/>
          <w:szCs w:val="32"/>
        </w:rPr>
        <w:t>1、我校严格落实政策性经费及生均拨款。2019年春季学期国家助学金受助人数770人，免学费受助人数1756人。</w:t>
      </w:r>
    </w:p>
    <w:p>
      <w:pPr>
        <w:rPr>
          <w:rFonts w:ascii="仿宋" w:hAnsi="仿宋" w:eastAsia="仿宋"/>
          <w:sz w:val="32"/>
          <w:szCs w:val="32"/>
        </w:rPr>
      </w:pPr>
      <w:r>
        <w:rPr>
          <w:rFonts w:hint="eastAsia" w:ascii="仿宋" w:hAnsi="仿宋" w:eastAsia="仿宋"/>
          <w:sz w:val="32"/>
          <w:szCs w:val="32"/>
        </w:rPr>
        <w:t>2019年秋季学期国家助学金受助人数528人，免学费受助人数1364人，资助工作涉及面广，社会关注度高，每学期申报结束时，我校及时做好受助学生相关材料的归档整理工作，做到资助材料可查、可信。资助资金到位后，我们第一时间发放给每一位受助学生。</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我校严格落实办学自主权，落实教师编制，出台了提升办学水平的政策和制度。为确保中职资助政策落实到每一位家庭经济困难学生身上，我们切实做到了公平、公正、公开透明，让资助政策在阳光下运行。</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我校在助学金申请过程中实行公示制度。在全校范围内公示所有受助学生名单和通过省系统公示平台进行公示，接受校内外监督。</w:t>
      </w:r>
    </w:p>
    <w:p>
      <w:pPr>
        <w:ind w:firstLine="581" w:firstLineChars="181"/>
        <w:rPr>
          <w:rFonts w:ascii="仿宋" w:hAnsi="仿宋" w:eastAsia="仿宋"/>
          <w:b/>
          <w:sz w:val="32"/>
          <w:szCs w:val="32"/>
        </w:rPr>
      </w:pPr>
      <w:r>
        <w:rPr>
          <w:rFonts w:hint="eastAsia" w:ascii="仿宋" w:hAnsi="仿宋" w:eastAsia="仿宋"/>
          <w:b/>
          <w:sz w:val="32"/>
          <w:szCs w:val="32"/>
        </w:rPr>
        <w:t>七、特色创新</w:t>
      </w:r>
    </w:p>
    <w:p>
      <w:pPr>
        <w:rPr>
          <w:rFonts w:ascii="仿宋" w:hAnsi="仿宋" w:eastAsia="仿宋"/>
          <w:sz w:val="32"/>
          <w:szCs w:val="32"/>
        </w:rPr>
      </w:pPr>
      <w:r>
        <w:rPr>
          <w:rFonts w:hint="eastAsia" w:ascii="仿宋" w:hAnsi="仿宋" w:eastAsia="仿宋"/>
          <w:sz w:val="32"/>
          <w:szCs w:val="32"/>
        </w:rPr>
        <w:t xml:space="preserve">    案例一：学校抓住建设第二批国家中职教育改革与发展示范性学校的契机，在现代职业教育快速发展的形势下，为加强学生实习实训和实践能力的培养，不断创新工学结合模式，探索校企合作的新思路,与杨凌多家医院、药厂校企合作，成为我校相关专业的实训教学基地，充分发挥专业实训基地在教学改革中的功能与作用，全方位为教学服务。</w:t>
      </w:r>
    </w:p>
    <w:p>
      <w:pPr>
        <w:ind w:firstLine="579" w:firstLineChars="181"/>
        <w:rPr>
          <w:rFonts w:ascii="仿宋" w:hAnsi="仿宋" w:eastAsia="仿宋"/>
          <w:sz w:val="32"/>
          <w:szCs w:val="32"/>
        </w:rPr>
      </w:pPr>
      <w:r>
        <w:rPr>
          <w:rFonts w:hint="eastAsia" w:ascii="仿宋" w:hAnsi="仿宋" w:eastAsia="仿宋"/>
          <w:sz w:val="32"/>
          <w:szCs w:val="32"/>
        </w:rPr>
        <w:t>这些实训基地极大地促进了我校的实践教学，为学校进一步深化教育教学改革，创新人才培养模式提供了有力支撑，为学生今后走上工作岗位打下坚实的基础，为教师队伍建设提供了有力保障。企业医药专业人员为学校的实训教师指导学生实训，帮助学生掌握过硬技能，我校专业教师通过企业实践，切实提高了专业教学水平。</w:t>
      </w:r>
    </w:p>
    <w:p>
      <w:pPr>
        <w:ind w:firstLine="579" w:firstLineChars="181"/>
        <w:rPr>
          <w:rFonts w:ascii="仿宋" w:hAnsi="仿宋" w:eastAsia="仿宋"/>
          <w:sz w:val="32"/>
          <w:szCs w:val="32"/>
        </w:rPr>
      </w:pPr>
      <w:r>
        <w:rPr>
          <w:rFonts w:hint="eastAsia" w:ascii="仿宋" w:hAnsi="仿宋" w:eastAsia="仿宋"/>
          <w:sz w:val="32"/>
          <w:szCs w:val="32"/>
        </w:rPr>
        <w:t>案例二：服务社会，走红色德育教育之路</w:t>
      </w:r>
    </w:p>
    <w:p>
      <w:pPr>
        <w:ind w:firstLine="579" w:firstLineChars="181"/>
        <w:rPr>
          <w:rFonts w:ascii="仿宋" w:hAnsi="仿宋" w:eastAsia="仿宋"/>
          <w:sz w:val="32"/>
          <w:szCs w:val="32"/>
        </w:rPr>
      </w:pPr>
      <w:r>
        <w:rPr>
          <w:rFonts w:hint="eastAsia" w:ascii="仿宋" w:hAnsi="仿宋" w:eastAsia="仿宋"/>
          <w:sz w:val="32"/>
          <w:szCs w:val="32"/>
        </w:rPr>
        <w:t xml:space="preserve">服务社会，教育为先。我校一直以培养实用型、技能型人才为目标，德育工作重中之重。红色教育宗旨在以红色作为时代精神内涵的象征，落脚点在于教育。呼唤有志青年学生忧国忧民、挑战自我、超越自我、挑战极限、奉献社会的崇高精神。培养学生的爱国主义、竞争能力、拾金不昧、艰苦朴素等优良传统美德是必要的。我校在教育教学中始终坚持“理论知识丰富，专业技能娴熟，综合素质良好，道德品质高尚”的办学理念。德育中弘扬以爱国、爱校、爱家为核心的民族精神和以改革开放、开拓创新为核心的时代精神。通过学生的爱校活动、自愿者服务、帮助老人、医疗救助、下乡义诊等活动培养学生的爱心。通过拔河比赛、主题文艺晚会、主题班会、团员“一学一做”等活动激发学生的竞争意识和表现力。 </w:t>
      </w:r>
    </w:p>
    <w:p>
      <w:pPr>
        <w:ind w:left="638" w:leftChars="304"/>
        <w:rPr>
          <w:rFonts w:ascii="仿宋" w:hAnsi="仿宋" w:eastAsia="仿宋"/>
          <w:b/>
          <w:bCs/>
          <w:sz w:val="32"/>
          <w:szCs w:val="32"/>
        </w:rPr>
      </w:pPr>
      <w:r>
        <w:rPr>
          <w:rFonts w:hint="eastAsia" w:ascii="仿宋" w:hAnsi="仿宋" w:eastAsia="仿宋"/>
          <w:b/>
          <w:bCs/>
          <w:sz w:val="32"/>
          <w:szCs w:val="32"/>
        </w:rPr>
        <w:t>八、</w:t>
      </w:r>
      <w:r>
        <w:rPr>
          <w:rFonts w:ascii="仿宋" w:hAnsi="仿宋" w:eastAsia="仿宋"/>
          <w:b/>
          <w:bCs/>
          <w:sz w:val="32"/>
          <w:szCs w:val="32"/>
        </w:rPr>
        <w:t>存在问题及改进措施</w:t>
      </w:r>
    </w:p>
    <w:p>
      <w:pPr>
        <w:ind w:left="638" w:leftChars="304"/>
        <w:rPr>
          <w:rFonts w:ascii="仿宋" w:hAnsi="仿宋" w:eastAsia="仿宋"/>
          <w:color w:val="000000"/>
          <w:sz w:val="30"/>
          <w:szCs w:val="30"/>
        </w:rPr>
      </w:pPr>
      <w:r>
        <w:rPr>
          <w:rFonts w:hint="eastAsia" w:ascii="仿宋" w:hAnsi="仿宋" w:eastAsia="仿宋"/>
          <w:color w:val="000000"/>
          <w:sz w:val="30"/>
          <w:szCs w:val="30"/>
        </w:rPr>
        <w:t>（一）人才培养方面存在的问题</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一是部分教师和管理人员的职业教育理念还没有真正确立，运用职业教育理念推进改革创新的自觉性需要进一步提高。</w:t>
      </w:r>
    </w:p>
    <w:p>
      <w:pPr>
        <w:ind w:firstLine="600" w:firstLineChars="200"/>
        <w:rPr>
          <w:rFonts w:ascii="仿宋" w:hAnsi="仿宋" w:eastAsia="仿宋"/>
          <w:b/>
          <w:bCs/>
          <w:sz w:val="32"/>
          <w:szCs w:val="32"/>
        </w:rPr>
      </w:pPr>
      <w:r>
        <w:rPr>
          <w:rFonts w:hint="eastAsia" w:ascii="仿宋" w:hAnsi="仿宋" w:eastAsia="仿宋"/>
          <w:color w:val="000000"/>
          <w:sz w:val="30"/>
          <w:szCs w:val="30"/>
        </w:rPr>
        <w:t>二是教师队伍教学实践能力有待提高，“双师型”师资队伍建设还有待加强和提升。</w:t>
      </w:r>
    </w:p>
    <w:p>
      <w:pPr>
        <w:ind w:firstLine="640" w:firstLineChars="200"/>
        <w:rPr>
          <w:rFonts w:ascii="仿宋" w:hAnsi="仿宋" w:eastAsia="仿宋"/>
          <w:b/>
          <w:bCs/>
          <w:sz w:val="32"/>
          <w:szCs w:val="32"/>
        </w:rPr>
      </w:pPr>
      <w:r>
        <w:rPr>
          <w:rFonts w:hint="eastAsia" w:ascii="仿宋" w:hAnsi="仿宋" w:eastAsia="仿宋"/>
          <w:sz w:val="32"/>
          <w:szCs w:val="32"/>
        </w:rPr>
        <w:t>（二）改进措施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根据教育部《关于深化职业教育教学改革、全面提高人才培养质量的若干意见》和（教职成[2015]6号）文件提出的“立德树人、全面发展”，“系统培养、多样成才”，“产教融合、校企合作”，“实践结合、知行合一”等四项基本原则的办学思路办学。</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一要抓住“十三五”新的发展机遇期，遵照国家和省有关文件的指示精神，进一步增强办学综合实力和管理水平，全面提升人才培养质量和社会服务能力，大力推进学校创新发展、优质发展，</w:t>
      </w:r>
      <w:r>
        <w:rPr>
          <w:rFonts w:hint="eastAsia" w:ascii="仿宋" w:hAnsi="仿宋" w:eastAsia="仿宋"/>
          <w:color w:val="000000"/>
          <w:sz w:val="32"/>
          <w:szCs w:val="32"/>
        </w:rPr>
        <w:t>进一步提高</w:t>
      </w:r>
      <w:r>
        <w:rPr>
          <w:rFonts w:hint="eastAsia" w:ascii="仿宋" w:hAnsi="仿宋" w:eastAsia="仿宋"/>
          <w:color w:val="000000"/>
          <w:sz w:val="30"/>
          <w:szCs w:val="30"/>
        </w:rPr>
        <w:t>教师和管理人员的职业教育理念</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二要进一步加强</w:t>
      </w:r>
      <w:r>
        <w:rPr>
          <w:rFonts w:hint="eastAsia" w:ascii="仿宋" w:hAnsi="仿宋" w:eastAsia="仿宋"/>
          <w:color w:val="000000"/>
          <w:sz w:val="30"/>
          <w:szCs w:val="30"/>
        </w:rPr>
        <w:t>“双师型”师资队伍建设，</w:t>
      </w:r>
      <w:r>
        <w:rPr>
          <w:rFonts w:hint="eastAsia" w:ascii="仿宋" w:hAnsi="仿宋" w:eastAsia="仿宋"/>
          <w:color w:val="000000"/>
          <w:sz w:val="32"/>
          <w:szCs w:val="32"/>
        </w:rPr>
        <w:t>以“校企合作”和“校校合作”为双翼，不断地提高推进科学发展、破解突出问题的能力和水平，不断巩固和扩大学校发展所取得的成果，为全面完成“十三五”建设目标而努力奋斗！</w:t>
      </w:r>
    </w:p>
    <w:p>
      <w:pPr>
        <w:ind w:firstLine="420" w:firstLineChars="200"/>
      </w:pPr>
    </w:p>
    <w:sectPr>
      <w:footerReference r:id="rId3" w:type="default"/>
      <w:pgSz w:w="11906" w:h="16838"/>
      <w:pgMar w:top="144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f87U&#10;3LUBAABcAwAADgAAAAAAAAABACAAAAAeAQAAZHJzL2Uyb0RvYy54bWxQSwUGAAAAAAYABgBZAQAA&#10;R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30041"/>
    <w:multiLevelType w:val="singleLevel"/>
    <w:tmpl w:val="FAC3004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78"/>
    <w:rsid w:val="0000795F"/>
    <w:rsid w:val="00013557"/>
    <w:rsid w:val="00033C0D"/>
    <w:rsid w:val="000346ED"/>
    <w:rsid w:val="0005218F"/>
    <w:rsid w:val="00067031"/>
    <w:rsid w:val="000810C3"/>
    <w:rsid w:val="00081447"/>
    <w:rsid w:val="00091653"/>
    <w:rsid w:val="00092B80"/>
    <w:rsid w:val="00095B38"/>
    <w:rsid w:val="000A6EE0"/>
    <w:rsid w:val="000B014C"/>
    <w:rsid w:val="000B5D67"/>
    <w:rsid w:val="000C3480"/>
    <w:rsid w:val="000D4901"/>
    <w:rsid w:val="000D5ACA"/>
    <w:rsid w:val="000D66DA"/>
    <w:rsid w:val="000D6B34"/>
    <w:rsid w:val="000F4358"/>
    <w:rsid w:val="00122D1E"/>
    <w:rsid w:val="00134CE5"/>
    <w:rsid w:val="0014182F"/>
    <w:rsid w:val="001574BC"/>
    <w:rsid w:val="00175EEB"/>
    <w:rsid w:val="0017687B"/>
    <w:rsid w:val="0018085C"/>
    <w:rsid w:val="00184F74"/>
    <w:rsid w:val="001A5EB1"/>
    <w:rsid w:val="001B2542"/>
    <w:rsid w:val="001B2756"/>
    <w:rsid w:val="001C2B73"/>
    <w:rsid w:val="001C7C12"/>
    <w:rsid w:val="001F0CCD"/>
    <w:rsid w:val="0020238E"/>
    <w:rsid w:val="00207B8B"/>
    <w:rsid w:val="0021285E"/>
    <w:rsid w:val="002141CF"/>
    <w:rsid w:val="00220999"/>
    <w:rsid w:val="002303FF"/>
    <w:rsid w:val="002337B3"/>
    <w:rsid w:val="00241390"/>
    <w:rsid w:val="002527B5"/>
    <w:rsid w:val="00274613"/>
    <w:rsid w:val="002B7508"/>
    <w:rsid w:val="002F1B36"/>
    <w:rsid w:val="00306891"/>
    <w:rsid w:val="00314D9B"/>
    <w:rsid w:val="0035632F"/>
    <w:rsid w:val="00397EF1"/>
    <w:rsid w:val="003B7E1C"/>
    <w:rsid w:val="003F0F5F"/>
    <w:rsid w:val="003F3EF7"/>
    <w:rsid w:val="004032AC"/>
    <w:rsid w:val="0041413B"/>
    <w:rsid w:val="00420722"/>
    <w:rsid w:val="00425E61"/>
    <w:rsid w:val="00437C41"/>
    <w:rsid w:val="0044350A"/>
    <w:rsid w:val="00490735"/>
    <w:rsid w:val="004966D1"/>
    <w:rsid w:val="004B25A2"/>
    <w:rsid w:val="004B3845"/>
    <w:rsid w:val="004D5733"/>
    <w:rsid w:val="004D76A3"/>
    <w:rsid w:val="00502B62"/>
    <w:rsid w:val="00507D00"/>
    <w:rsid w:val="00516DC8"/>
    <w:rsid w:val="00532E28"/>
    <w:rsid w:val="00551B95"/>
    <w:rsid w:val="00575685"/>
    <w:rsid w:val="005868E8"/>
    <w:rsid w:val="005A3943"/>
    <w:rsid w:val="005A3C6D"/>
    <w:rsid w:val="005A5FC9"/>
    <w:rsid w:val="005C4FEA"/>
    <w:rsid w:val="005D5E39"/>
    <w:rsid w:val="005E0BAF"/>
    <w:rsid w:val="005E59A4"/>
    <w:rsid w:val="005F20F2"/>
    <w:rsid w:val="005F2C6D"/>
    <w:rsid w:val="00617F28"/>
    <w:rsid w:val="006276EE"/>
    <w:rsid w:val="00634AF2"/>
    <w:rsid w:val="0064392B"/>
    <w:rsid w:val="00646139"/>
    <w:rsid w:val="00664945"/>
    <w:rsid w:val="00685D51"/>
    <w:rsid w:val="006A3585"/>
    <w:rsid w:val="006B3E72"/>
    <w:rsid w:val="006E04F8"/>
    <w:rsid w:val="006E1807"/>
    <w:rsid w:val="006E556F"/>
    <w:rsid w:val="00716501"/>
    <w:rsid w:val="007326BF"/>
    <w:rsid w:val="00762736"/>
    <w:rsid w:val="0077152D"/>
    <w:rsid w:val="0078459B"/>
    <w:rsid w:val="007868C4"/>
    <w:rsid w:val="00795EA7"/>
    <w:rsid w:val="007A1AB8"/>
    <w:rsid w:val="007E06FD"/>
    <w:rsid w:val="007E5813"/>
    <w:rsid w:val="007F1A1F"/>
    <w:rsid w:val="007F2AC0"/>
    <w:rsid w:val="00801D5F"/>
    <w:rsid w:val="00805BC4"/>
    <w:rsid w:val="008351E3"/>
    <w:rsid w:val="00846A65"/>
    <w:rsid w:val="008A2A8F"/>
    <w:rsid w:val="008C045F"/>
    <w:rsid w:val="008F75CE"/>
    <w:rsid w:val="0090567A"/>
    <w:rsid w:val="00953CEB"/>
    <w:rsid w:val="00990D74"/>
    <w:rsid w:val="009B6DEE"/>
    <w:rsid w:val="009D13B9"/>
    <w:rsid w:val="009D2B49"/>
    <w:rsid w:val="009E3BEB"/>
    <w:rsid w:val="00A0022F"/>
    <w:rsid w:val="00A00384"/>
    <w:rsid w:val="00A21E86"/>
    <w:rsid w:val="00A409E5"/>
    <w:rsid w:val="00A4139B"/>
    <w:rsid w:val="00A460F5"/>
    <w:rsid w:val="00A46CAA"/>
    <w:rsid w:val="00A71718"/>
    <w:rsid w:val="00A8001C"/>
    <w:rsid w:val="00AC27CB"/>
    <w:rsid w:val="00AD08B9"/>
    <w:rsid w:val="00AE4395"/>
    <w:rsid w:val="00B268CB"/>
    <w:rsid w:val="00B27039"/>
    <w:rsid w:val="00B27A96"/>
    <w:rsid w:val="00B349E3"/>
    <w:rsid w:val="00B52ABC"/>
    <w:rsid w:val="00B56629"/>
    <w:rsid w:val="00B80990"/>
    <w:rsid w:val="00B8607E"/>
    <w:rsid w:val="00B90E5E"/>
    <w:rsid w:val="00B93524"/>
    <w:rsid w:val="00B95A6D"/>
    <w:rsid w:val="00BC32D0"/>
    <w:rsid w:val="00BE0DA5"/>
    <w:rsid w:val="00BF12CA"/>
    <w:rsid w:val="00BF4677"/>
    <w:rsid w:val="00C05C75"/>
    <w:rsid w:val="00C41FD5"/>
    <w:rsid w:val="00C74998"/>
    <w:rsid w:val="00C82AC6"/>
    <w:rsid w:val="00C84A68"/>
    <w:rsid w:val="00C90811"/>
    <w:rsid w:val="00C91AD8"/>
    <w:rsid w:val="00C92A66"/>
    <w:rsid w:val="00CD173F"/>
    <w:rsid w:val="00CD36E0"/>
    <w:rsid w:val="00CE0978"/>
    <w:rsid w:val="00CF2BB0"/>
    <w:rsid w:val="00CF491A"/>
    <w:rsid w:val="00D11DC9"/>
    <w:rsid w:val="00D47778"/>
    <w:rsid w:val="00D75E49"/>
    <w:rsid w:val="00D8262B"/>
    <w:rsid w:val="00D872D5"/>
    <w:rsid w:val="00D93F8E"/>
    <w:rsid w:val="00DB0B37"/>
    <w:rsid w:val="00DC2484"/>
    <w:rsid w:val="00DD4EA0"/>
    <w:rsid w:val="00DD5219"/>
    <w:rsid w:val="00DD5BB5"/>
    <w:rsid w:val="00DD68AB"/>
    <w:rsid w:val="00DE01E3"/>
    <w:rsid w:val="00DE120D"/>
    <w:rsid w:val="00DF3F2E"/>
    <w:rsid w:val="00DF5921"/>
    <w:rsid w:val="00DF7377"/>
    <w:rsid w:val="00E028B4"/>
    <w:rsid w:val="00E22EED"/>
    <w:rsid w:val="00E450A8"/>
    <w:rsid w:val="00E51D94"/>
    <w:rsid w:val="00E64EA0"/>
    <w:rsid w:val="00E66052"/>
    <w:rsid w:val="00E7187C"/>
    <w:rsid w:val="00E751DA"/>
    <w:rsid w:val="00E8537A"/>
    <w:rsid w:val="00E87AE1"/>
    <w:rsid w:val="00E9248B"/>
    <w:rsid w:val="00E94E7F"/>
    <w:rsid w:val="00EC1F44"/>
    <w:rsid w:val="00ED37D9"/>
    <w:rsid w:val="00EF5C42"/>
    <w:rsid w:val="00F16DCF"/>
    <w:rsid w:val="00F17A3E"/>
    <w:rsid w:val="00F23215"/>
    <w:rsid w:val="00F33A05"/>
    <w:rsid w:val="00F41094"/>
    <w:rsid w:val="00F74E87"/>
    <w:rsid w:val="00F77A88"/>
    <w:rsid w:val="00F9772B"/>
    <w:rsid w:val="00FB15AF"/>
    <w:rsid w:val="00FB4050"/>
    <w:rsid w:val="00FC17C2"/>
    <w:rsid w:val="00FC79B1"/>
    <w:rsid w:val="00FD1FE3"/>
    <w:rsid w:val="00FD2038"/>
    <w:rsid w:val="00FD68DA"/>
    <w:rsid w:val="017D5054"/>
    <w:rsid w:val="02B1724C"/>
    <w:rsid w:val="03FF5D87"/>
    <w:rsid w:val="077F32CA"/>
    <w:rsid w:val="07ED00B6"/>
    <w:rsid w:val="092B7653"/>
    <w:rsid w:val="09661396"/>
    <w:rsid w:val="09AD00F4"/>
    <w:rsid w:val="0C44215E"/>
    <w:rsid w:val="0D1E34EF"/>
    <w:rsid w:val="110B4FED"/>
    <w:rsid w:val="11960CA7"/>
    <w:rsid w:val="132049B5"/>
    <w:rsid w:val="134A77FA"/>
    <w:rsid w:val="146A6965"/>
    <w:rsid w:val="14760B26"/>
    <w:rsid w:val="14EC0B49"/>
    <w:rsid w:val="163F4E41"/>
    <w:rsid w:val="164C66A2"/>
    <w:rsid w:val="16EE32F3"/>
    <w:rsid w:val="19E26D54"/>
    <w:rsid w:val="1A9F2F63"/>
    <w:rsid w:val="1C713B9C"/>
    <w:rsid w:val="1D4367E2"/>
    <w:rsid w:val="1DD444EE"/>
    <w:rsid w:val="1E953E94"/>
    <w:rsid w:val="20236F2D"/>
    <w:rsid w:val="208D6A67"/>
    <w:rsid w:val="21911E11"/>
    <w:rsid w:val="21CC3E00"/>
    <w:rsid w:val="21FF6A70"/>
    <w:rsid w:val="22B767BD"/>
    <w:rsid w:val="251A2D2A"/>
    <w:rsid w:val="256C537C"/>
    <w:rsid w:val="28B74CE0"/>
    <w:rsid w:val="292301E8"/>
    <w:rsid w:val="2B435431"/>
    <w:rsid w:val="2C8F0983"/>
    <w:rsid w:val="2DF62458"/>
    <w:rsid w:val="2FB77200"/>
    <w:rsid w:val="30EF0483"/>
    <w:rsid w:val="31DF11E7"/>
    <w:rsid w:val="321B1CC3"/>
    <w:rsid w:val="32FD3030"/>
    <w:rsid w:val="33BA13E2"/>
    <w:rsid w:val="33EF3A48"/>
    <w:rsid w:val="35B5393A"/>
    <w:rsid w:val="36E42095"/>
    <w:rsid w:val="3A36698B"/>
    <w:rsid w:val="3D2943F6"/>
    <w:rsid w:val="3F0D2286"/>
    <w:rsid w:val="3F5F1537"/>
    <w:rsid w:val="3F99412A"/>
    <w:rsid w:val="3FA20DD8"/>
    <w:rsid w:val="41E50A37"/>
    <w:rsid w:val="420C5B33"/>
    <w:rsid w:val="4264570E"/>
    <w:rsid w:val="42D074D3"/>
    <w:rsid w:val="42DD60AC"/>
    <w:rsid w:val="43BB4D96"/>
    <w:rsid w:val="44AE27B7"/>
    <w:rsid w:val="44C00D61"/>
    <w:rsid w:val="44EF6978"/>
    <w:rsid w:val="4AD64A53"/>
    <w:rsid w:val="4ADE12B4"/>
    <w:rsid w:val="4D597261"/>
    <w:rsid w:val="4F8F7496"/>
    <w:rsid w:val="50945BA8"/>
    <w:rsid w:val="51312A6A"/>
    <w:rsid w:val="518A3A92"/>
    <w:rsid w:val="5489250C"/>
    <w:rsid w:val="549F0C81"/>
    <w:rsid w:val="561143B7"/>
    <w:rsid w:val="56DA0AFD"/>
    <w:rsid w:val="573944C9"/>
    <w:rsid w:val="573A1FD7"/>
    <w:rsid w:val="57C20152"/>
    <w:rsid w:val="58377DB4"/>
    <w:rsid w:val="589032BB"/>
    <w:rsid w:val="59AB587C"/>
    <w:rsid w:val="5AB97055"/>
    <w:rsid w:val="5B5A3029"/>
    <w:rsid w:val="5EC85F94"/>
    <w:rsid w:val="5FAC7489"/>
    <w:rsid w:val="614415D2"/>
    <w:rsid w:val="61AD2452"/>
    <w:rsid w:val="61B97D28"/>
    <w:rsid w:val="62782E20"/>
    <w:rsid w:val="62C37403"/>
    <w:rsid w:val="635B7A6A"/>
    <w:rsid w:val="640C744C"/>
    <w:rsid w:val="64685541"/>
    <w:rsid w:val="674B7959"/>
    <w:rsid w:val="676B0575"/>
    <w:rsid w:val="67F17916"/>
    <w:rsid w:val="68BF51B7"/>
    <w:rsid w:val="691773C9"/>
    <w:rsid w:val="6B1A6ABB"/>
    <w:rsid w:val="6E5A3C07"/>
    <w:rsid w:val="6F2E0D9B"/>
    <w:rsid w:val="6FC1266F"/>
    <w:rsid w:val="72101D3F"/>
    <w:rsid w:val="744B648D"/>
    <w:rsid w:val="749C7FB0"/>
    <w:rsid w:val="755728E8"/>
    <w:rsid w:val="75C367D5"/>
    <w:rsid w:val="77341C07"/>
    <w:rsid w:val="77782A44"/>
    <w:rsid w:val="7B621D9B"/>
    <w:rsid w:val="7C882652"/>
    <w:rsid w:val="7E584FDB"/>
    <w:rsid w:val="7F441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on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wo"/>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1305</Words>
  <Characters>7445</Characters>
  <Lines>62</Lines>
  <Paragraphs>17</Paragraphs>
  <TotalTime>322</TotalTime>
  <ScaleCrop>false</ScaleCrop>
  <LinksUpToDate>false</LinksUpToDate>
  <CharactersWithSpaces>8733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2016-12-21T08:14:00Z</dcterms:created>
  <dc:creator>微软用户</dc:creator>
  <cp:lastModifiedBy>北大软件</cp:lastModifiedBy>
  <cp:lastPrinted>2019-12-13T00:42:00Z</cp:lastPrinted>
  <dcterms:modified xsi:type="dcterms:W3CDTF">2020-01-17T01:43:49Z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